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Abano Terme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Pado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